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120" w:before="120"/>
        <w:ind w:hanging="120" w:left="120"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40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margin">
              <wp:posOffset>32772</wp:posOffset>
            </wp:positionH>
            <wp:positionV relativeFrom="page">
              <wp:posOffset>781050</wp:posOffset>
            </wp:positionV>
            <wp:extent cx="6207222" cy="3710998"/>
            <wp:effectExtent b="0" l="0" r="0" t="0"/>
            <wp:wrapSquare distL="114300" distR="11430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07222" cy="371099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0"/>
        </w:rPr>
        <w:t>Что нужно знать о нелегальной занятости!</w:t>
      </w:r>
    </w:p>
    <w:p w14:paraId="02000000">
      <w:pPr>
        <w:widowControl w:val="1"/>
        <w:spacing w:after="120" w:before="120"/>
        <w:ind w:hanging="120" w:left="120" w:right="12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</w:pPr>
    </w:p>
    <w:p w14:paraId="03000000">
      <w:pPr>
        <w:widowControl w:val="1"/>
        <w:spacing w:after="120" w:before="120"/>
        <w:ind w:hanging="120" w:left="120" w:right="12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Что это такое?</w:t>
      </w:r>
    </w:p>
    <w:p w14:paraId="04000000">
      <w:pPr>
        <w:widowControl w:val="1"/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 Нелегальная занятость - это работа без официального оформления трудового договора, когда отношения строятся на устной договоренности. Сюда же относятся «серая» зарплата в конвертах и подмена трудового договора гражданско-правовым, хотя на деле это полноценная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работа по найму .</w:t>
      </w:r>
    </w:p>
    <w:p w14:paraId="05000000">
      <w:pPr>
        <w:widowControl w:val="1"/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06000000">
      <w:pPr>
        <w:widowControl w:val="1"/>
        <w:spacing w:after="120" w:before="120"/>
        <w:ind w:hanging="120" w:left="120" w:right="12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Чем это грозит работнику:</w:t>
      </w:r>
    </w:p>
    <w:p w14:paraId="07000000">
      <w:pPr>
        <w:widowControl w:val="1"/>
        <w:numPr>
          <w:numId w:val="1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Нет социальных гарантий - никаких оплачиваемых больничных, отпусков, пособий по беременности и родам.</w:t>
      </w:r>
    </w:p>
    <w:p w14:paraId="08000000">
      <w:pPr>
        <w:widowControl w:val="1"/>
        <w:numPr>
          <w:numId w:val="1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Пенсия под угрозой - стаж не идет, пенсионные баллы не начисляются. В будущем можно рассчитывать только на минимальную социальную пенсию.</w:t>
      </w:r>
    </w:p>
    <w:p w14:paraId="09000000">
      <w:pPr>
        <w:widowControl w:val="1"/>
        <w:numPr>
          <w:numId w:val="1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Можно потерять зарплату - работодатель может задержать выплату или вовсе не заплатить, а доказать что-либо без документов почти невозможно.</w:t>
      </w:r>
    </w:p>
    <w:p w14:paraId="0A000000">
      <w:pPr>
        <w:widowControl w:val="1"/>
        <w:numPr>
          <w:numId w:val="1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Сложности с кредитами и вычетами - без официального дохода банки откажут в ипотеке, а получить налоговые вычеты за лечение или покупку жилья не выйдет.</w:t>
      </w:r>
    </w:p>
    <w:p w14:paraId="0B000000">
      <w:pPr>
        <w:widowControl w:val="1"/>
        <w:numPr>
          <w:numId w:val="1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Незащищенность при травме - если произойдет несчастный случай на работе, компенсацию не выплатят.</w:t>
      </w:r>
    </w:p>
    <w:p w14:paraId="0C000000">
      <w:pPr>
        <w:widowControl w:val="1"/>
        <w:numPr>
          <w:numId w:val="1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Уязвимость перед работодателем - вас могут уволить в любой момент без объяснения причин.</w:t>
      </w:r>
    </w:p>
    <w:p w14:paraId="0D000000">
      <w:pPr>
        <w:widowControl w:val="1"/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0E000000">
      <w:pPr>
        <w:widowControl w:val="1"/>
        <w:spacing w:after="120" w:before="120"/>
        <w:ind w:hanging="120" w:left="120" w:right="12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   </w:t>
      </w:r>
    </w:p>
    <w:p w14:paraId="0F000000">
      <w:pPr>
        <w:widowControl w:val="1"/>
        <w:spacing w:after="120" w:before="120"/>
        <w:ind w:hanging="120" w:left="120" w:right="12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    Что грозит работодателю:</w:t>
      </w:r>
    </w:p>
    <w:p w14:paraId="10000000">
      <w:pPr>
        <w:widowControl w:val="1"/>
        <w:numPr>
          <w:numId w:val="2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Штрафы - до 100 тыс. рублей за первое нарушение, при повторном - до 200 тыс.</w:t>
      </w:r>
    </w:p>
    <w:p w14:paraId="11000000">
      <w:pPr>
        <w:widowControl w:val="1"/>
        <w:numPr>
          <w:numId w:val="2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Доначисление налогов и взносов с пенями.</w:t>
      </w:r>
    </w:p>
    <w:p w14:paraId="12000000">
      <w:pPr>
        <w:widowControl w:val="1"/>
        <w:numPr>
          <w:numId w:val="2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Налоговая и уголовная ответственность за уклонение от уплаты налогов.</w:t>
      </w:r>
    </w:p>
    <w:p w14:paraId="13000000">
      <w:pPr>
        <w:widowControl w:val="1"/>
        <w:numPr>
          <w:numId w:val="2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Репутационные потери и проблемы с кадрами.</w:t>
      </w:r>
    </w:p>
    <w:p w14:paraId="14000000">
      <w:pPr>
        <w:widowControl w:val="1"/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15000000">
      <w:pPr>
        <w:widowControl w:val="1"/>
        <w:spacing w:after="120" w:before="120"/>
        <w:ind w:hanging="120" w:left="120" w:right="12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        Как защитить себя:</w:t>
      </w:r>
    </w:p>
    <w:p w14:paraId="16000000">
      <w:pPr>
        <w:widowControl w:val="1"/>
        <w:numPr>
          <w:numId w:val="3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Всегда требуйте письменный трудовой договор.</w:t>
      </w:r>
    </w:p>
    <w:p w14:paraId="17000000">
      <w:pPr>
        <w:widowControl w:val="1"/>
        <w:numPr>
          <w:numId w:val="4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Проверяйте отчетность в «Личном кабинете налогоплательщика» - там видны ваши официальные доходы и отчисления.</w:t>
      </w:r>
    </w:p>
    <w:p w14:paraId="18000000">
      <w:pPr>
        <w:widowControl w:val="1"/>
        <w:numPr>
          <w:numId w:val="4"/>
        </w:numPr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В случае нарушения обращайтесь в трудовую инспекцию или в межведомственную комиссию по противодействию нелегальной занятости.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</w:t>
      </w:r>
    </w:p>
    <w:p w14:paraId="19000000">
      <w:pPr>
        <w:widowControl w:val="1"/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1A000000">
      <w:pPr>
        <w:widowControl w:val="1"/>
        <w:spacing w:after="120" w:before="120"/>
        <w:ind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</w:t>
      </w: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margin">
              <wp:posOffset>127952</wp:posOffset>
            </wp:positionH>
            <wp:positionV relativeFrom="page">
              <wp:posOffset>4662169</wp:posOffset>
            </wp:positionV>
            <wp:extent cx="456816" cy="447295"/>
            <wp:effectExtent b="0" l="0" r="0" t="0"/>
            <wp:wrapSquare distL="114300" distR="114300" wrapText="bothSides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56816" cy="4472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Тверской области, как и по всей России, созданы специальные комиссии, которые занимаются борьбой с нелегальной занятостью и легализацией трудовых отношений - это вопрос вашей социальной        защ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ищенности и будущей пенсии.</w:t>
      </w:r>
      <w:r>
        <w:br/>
      </w:r>
    </w:p>
    <w:sectPr>
      <w:pgSz w:h="16838" w:orient="portrait" w:w="11906"/>
      <w:pgMar w:bottom="539" w:left="1304" w:right="737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•"/>
      <w:pPr>
        <w:widowControl w:val="1"/>
        <w:ind w:hanging="360" w:left="2880"/>
      </w:pPr>
      <w:rPr>
        <w:rFonts w:ascii="Arial" w:hAnsi="Aria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•"/>
      <w:pPr>
        <w:widowControl w:val="1"/>
        <w:ind w:hanging="360" w:left="5040"/>
      </w:pPr>
      <w:rPr>
        <w:rFonts w:ascii="Arial" w:hAnsi="Aria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•"/>
      <w:pPr>
        <w:widowControl w:val="1"/>
        <w:ind w:hanging="360" w:left="2880"/>
      </w:pPr>
      <w:rPr>
        <w:rFonts w:ascii="Arial" w:hAnsi="Aria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•"/>
      <w:pPr>
        <w:widowControl w:val="1"/>
        <w:ind w:hanging="360" w:left="5040"/>
      </w:pPr>
      <w:rPr>
        <w:rFonts w:ascii="Arial" w:hAnsi="Aria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•"/>
      <w:pPr>
        <w:widowControl w:val="1"/>
        <w:ind w:hanging="360" w:left="2880"/>
      </w:pPr>
      <w:rPr>
        <w:rFonts w:ascii="Arial" w:hAnsi="Aria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•"/>
      <w:pPr>
        <w:widowControl w:val="1"/>
        <w:ind w:hanging="360" w:left="5040"/>
      </w:pPr>
      <w:rPr>
        <w:rFonts w:ascii="Arial" w:hAnsi="Aria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•"/>
      <w:pPr>
        <w:widowControl w:val="1"/>
        <w:ind w:hanging="360" w:left="2880"/>
      </w:pPr>
      <w:rPr>
        <w:rFonts w:ascii="Arial" w:hAnsi="Aria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•"/>
      <w:pPr>
        <w:widowControl w:val="1"/>
        <w:ind w:hanging="360" w:left="5040"/>
      </w:pPr>
      <w:rPr>
        <w:rFonts w:ascii="Arial" w:hAnsi="Aria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media/1.png" Type="http://schemas.openxmlformats.org/officeDocument/2006/relationships/image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2026-06-24T09:03:41Z</dcterms:created>
  <dcterms:modified xsi:type="dcterms:W3CDTF">2026-06-24T10:12:31Z</dcterms:modified>
</cp:coreProperties>
</file>